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0EC3A">
      <w:pPr>
        <w:keepNext w:val="0"/>
        <w:keepLines w:val="0"/>
        <w:pageBreakBefore w:val="0"/>
        <w:widowControl w:val="0"/>
        <w:kinsoku/>
        <w:wordWrap/>
        <w:overflowPunct/>
        <w:topLinePunct w:val="0"/>
        <w:autoSpaceDE w:val="0"/>
        <w:autoSpaceDN w:val="0"/>
        <w:bidi w:val="0"/>
        <w:adjustRightInd w:val="0"/>
        <w:snapToGrid/>
        <w:spacing w:after="0" w:line="360" w:lineRule="auto"/>
        <w:ind w:left="275" w:leftChars="125"/>
        <w:jc w:val="both"/>
        <w:textAlignment w:val="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eastAsia="ru-RU"/>
        </w:rPr>
        <w:t>УДК</w:t>
      </w:r>
      <w:r>
        <w:rPr>
          <w:rFonts w:hint="default" w:ascii="Times New Roman" w:hAnsi="Times New Roman" w:eastAsia="Times New Roman" w:cs="Times New Roman"/>
          <w:sz w:val="28"/>
          <w:szCs w:val="28"/>
          <w:lang w:val="en-US" w:eastAsia="ru-RU"/>
        </w:rPr>
        <w:t>-347</w:t>
      </w:r>
    </w:p>
    <w:p w14:paraId="50FD7BBA">
      <w:pPr>
        <w:pStyle w:val="4"/>
        <w:spacing w:line="360" w:lineRule="auto"/>
        <w:ind w:right="3"/>
        <w:jc w:val="right"/>
        <w:rPr>
          <w:rFonts w:hint="default"/>
          <w:color w:val="0D0D0D"/>
          <w:sz w:val="28"/>
          <w:szCs w:val="28"/>
          <w:lang w:val="ru-RU"/>
        </w:rPr>
      </w:pPr>
      <w:r>
        <w:rPr>
          <w:rFonts w:hint="default"/>
          <w:color w:val="0D0D0D"/>
          <w:sz w:val="28"/>
          <w:szCs w:val="28"/>
          <w:lang w:val="ru-RU"/>
        </w:rPr>
        <w:t>Бартасова Галина Александровна</w:t>
      </w:r>
      <w:r>
        <w:rPr>
          <w:color w:val="0D0D0D"/>
          <w:sz w:val="28"/>
          <w:szCs w:val="28"/>
        </w:rPr>
        <w:t>, студент</w:t>
      </w:r>
      <w:r>
        <w:rPr>
          <w:rFonts w:hint="default"/>
          <w:color w:val="0D0D0D"/>
          <w:sz w:val="28"/>
          <w:szCs w:val="28"/>
          <w:lang w:val="ru-RU"/>
        </w:rPr>
        <w:t>.</w:t>
      </w:r>
    </w:p>
    <w:p w14:paraId="1FEEC414">
      <w:pPr>
        <w:pStyle w:val="4"/>
        <w:spacing w:line="360" w:lineRule="auto"/>
        <w:ind w:right="3"/>
        <w:jc w:val="right"/>
        <w:rPr>
          <w:rFonts w:hint="default"/>
          <w:color w:val="0D0D0D"/>
          <w:sz w:val="28"/>
          <w:szCs w:val="28"/>
          <w:lang w:val="ru-RU"/>
        </w:rPr>
      </w:pPr>
      <w:r>
        <w:rPr>
          <w:rFonts w:ascii="Arial" w:hAnsi="Arial" w:eastAsia="Arial" w:cs="Arial"/>
          <w:i w:val="0"/>
          <w:iCs w:val="0"/>
          <w:caps w:val="0"/>
          <w:color w:val="000000"/>
          <w:spacing w:val="0"/>
          <w:sz w:val="24"/>
          <w:szCs w:val="24"/>
          <w:shd w:val="clear" w:fill="FFFFFF"/>
        </w:rPr>
        <w:t>Galina</w:t>
      </w:r>
      <w:r>
        <w:rPr>
          <w:rFonts w:hint="default" w:ascii="Arial" w:hAnsi="Arial" w:eastAsia="Arial" w:cs="Arial"/>
          <w:i w:val="0"/>
          <w:iCs w:val="0"/>
          <w:caps w:val="0"/>
          <w:color w:val="000000"/>
          <w:spacing w:val="0"/>
          <w:sz w:val="24"/>
          <w:szCs w:val="24"/>
          <w:shd w:val="clear" w:fill="FFFFFF"/>
        </w:rPr>
        <w:t> Alexandrovna Bartasova, student. </w:t>
      </w:r>
    </w:p>
    <w:p w14:paraId="71B4AA2B">
      <w:pPr>
        <w:pStyle w:val="4"/>
        <w:spacing w:line="360" w:lineRule="auto"/>
        <w:ind w:right="3" w:firstLine="709"/>
        <w:jc w:val="right"/>
        <w:rPr>
          <w:rFonts w:hint="default" w:ascii="Times New Roman" w:hAnsi="Times New Roman" w:eastAsia="Arial" w:cs="Times New Roman"/>
          <w:b w:val="0"/>
          <w:bCs w:val="0"/>
          <w:i w:val="0"/>
          <w:iCs w:val="0"/>
          <w:caps w:val="0"/>
          <w:color w:val="000000"/>
          <w:spacing w:val="0"/>
          <w:sz w:val="28"/>
          <w:szCs w:val="28"/>
          <w:shd w:val="clear" w:color="auto" w:fill="auto"/>
        </w:rPr>
      </w:pPr>
      <w:r>
        <w:rPr>
          <w:rFonts w:hint="default" w:ascii="Times New Roman" w:hAnsi="Times New Roman" w:eastAsia="Arial" w:cs="Times New Roman"/>
          <w:b w:val="0"/>
          <w:bCs w:val="0"/>
          <w:i w:val="0"/>
          <w:iCs w:val="0"/>
          <w:caps w:val="0"/>
          <w:color w:val="000000"/>
          <w:spacing w:val="0"/>
          <w:sz w:val="28"/>
          <w:szCs w:val="28"/>
          <w:shd w:val="clear" w:color="auto" w:fill="auto"/>
        </w:rPr>
        <w:t>Негосударственное образовательное частное учреждение </w:t>
      </w:r>
    </w:p>
    <w:p w14:paraId="50BFA01E">
      <w:pPr>
        <w:pStyle w:val="4"/>
        <w:spacing w:line="360" w:lineRule="auto"/>
        <w:ind w:right="3" w:firstLine="709"/>
        <w:jc w:val="right"/>
        <w:rPr>
          <w:rFonts w:hint="default" w:ascii="Times New Roman" w:hAnsi="Times New Roman" w:eastAsia="Arial" w:cs="Times New Roman"/>
          <w:b w:val="0"/>
          <w:bCs w:val="0"/>
          <w:i w:val="0"/>
          <w:iCs w:val="0"/>
          <w:caps w:val="0"/>
          <w:color w:val="000000"/>
          <w:spacing w:val="0"/>
          <w:sz w:val="28"/>
          <w:szCs w:val="28"/>
          <w:shd w:val="clear" w:color="auto" w:fill="auto"/>
        </w:rPr>
      </w:pPr>
      <w:r>
        <w:rPr>
          <w:rFonts w:hint="default" w:ascii="Times New Roman" w:hAnsi="Times New Roman" w:eastAsia="Arial" w:cs="Times New Roman"/>
          <w:b w:val="0"/>
          <w:bCs w:val="0"/>
          <w:i w:val="0"/>
          <w:iCs w:val="0"/>
          <w:caps w:val="0"/>
          <w:color w:val="000000"/>
          <w:spacing w:val="0"/>
          <w:sz w:val="28"/>
          <w:szCs w:val="28"/>
          <w:shd w:val="clear" w:color="auto" w:fill="auto"/>
        </w:rPr>
        <w:t>высшего образования «Московский финансово</w:t>
      </w:r>
      <w:r>
        <w:rPr>
          <w:rFonts w:hint="default" w:ascii="Times New Roman" w:hAnsi="Times New Roman" w:eastAsia="Arial" w:cs="Times New Roman"/>
          <w:b w:val="0"/>
          <w:bCs w:val="0"/>
          <w:i w:val="0"/>
          <w:iCs w:val="0"/>
          <w:caps w:val="0"/>
          <w:color w:val="000000"/>
          <w:spacing w:val="0"/>
          <w:sz w:val="28"/>
          <w:szCs w:val="28"/>
          <w:shd w:val="clear" w:color="auto" w:fill="auto"/>
        </w:rPr>
        <w:noBreakHyphen/>
      </w:r>
      <w:r>
        <w:rPr>
          <w:rFonts w:hint="default" w:ascii="Times New Roman" w:hAnsi="Times New Roman" w:eastAsia="Arial" w:cs="Times New Roman"/>
          <w:b w:val="0"/>
          <w:bCs w:val="0"/>
          <w:i w:val="0"/>
          <w:iCs w:val="0"/>
          <w:caps w:val="0"/>
          <w:color w:val="000000"/>
          <w:spacing w:val="0"/>
          <w:sz w:val="28"/>
          <w:szCs w:val="28"/>
          <w:shd w:val="clear" w:color="auto" w:fill="auto"/>
        </w:rPr>
        <w:t>промышленный </w:t>
      </w:r>
    </w:p>
    <w:p w14:paraId="286F0B38">
      <w:pPr>
        <w:pStyle w:val="4"/>
        <w:spacing w:line="360" w:lineRule="auto"/>
        <w:ind w:right="3" w:firstLine="709"/>
        <w:jc w:val="right"/>
        <w:rPr>
          <w:rFonts w:hint="default" w:ascii="Times New Roman" w:hAnsi="Times New Roman" w:eastAsia="Arial" w:cs="Times New Roman"/>
          <w:b w:val="0"/>
          <w:bCs w:val="0"/>
          <w:i w:val="0"/>
          <w:iCs w:val="0"/>
          <w:caps w:val="0"/>
          <w:color w:val="000000"/>
          <w:spacing w:val="0"/>
          <w:sz w:val="28"/>
          <w:szCs w:val="28"/>
          <w:shd w:val="clear" w:color="auto" w:fill="auto"/>
        </w:rPr>
      </w:pPr>
      <w:r>
        <w:rPr>
          <w:rFonts w:hint="default" w:ascii="Times New Roman" w:hAnsi="Times New Roman" w:eastAsia="Arial" w:cs="Times New Roman"/>
          <w:b w:val="0"/>
          <w:bCs w:val="0"/>
          <w:i w:val="0"/>
          <w:iCs w:val="0"/>
          <w:caps w:val="0"/>
          <w:color w:val="000000"/>
          <w:spacing w:val="0"/>
          <w:sz w:val="28"/>
          <w:szCs w:val="28"/>
          <w:shd w:val="clear" w:color="auto" w:fill="auto"/>
        </w:rPr>
        <w:t>университет „Синергия“».</w:t>
      </w:r>
    </w:p>
    <w:p w14:paraId="507680B0">
      <w:pPr>
        <w:pStyle w:val="4"/>
        <w:spacing w:line="360" w:lineRule="auto"/>
        <w:ind w:right="3" w:firstLine="709"/>
        <w:jc w:val="right"/>
        <w:rPr>
          <w:rFonts w:hint="default" w:ascii="Times New Roman" w:hAnsi="Times New Roman" w:eastAsia="Arial" w:cs="Times New Roman"/>
          <w:b w:val="0"/>
          <w:bCs w:val="0"/>
          <w:i w:val="0"/>
          <w:iCs w:val="0"/>
          <w:caps w:val="0"/>
          <w:color w:val="000000"/>
          <w:spacing w:val="0"/>
          <w:sz w:val="28"/>
          <w:szCs w:val="28"/>
          <w:shd w:val="clear" w:color="auto" w:fill="auto"/>
        </w:rPr>
      </w:pPr>
      <w:r>
        <w:rPr>
          <w:rFonts w:hint="default" w:ascii="Arial" w:hAnsi="Arial" w:eastAsia="Arial" w:cs="Arial"/>
          <w:i w:val="0"/>
          <w:iCs w:val="0"/>
          <w:caps w:val="0"/>
          <w:color w:val="000000"/>
          <w:spacing w:val="0"/>
          <w:sz w:val="24"/>
          <w:szCs w:val="24"/>
          <w:shd w:val="clear" w:fill="FFFFFF"/>
        </w:rPr>
        <w:t>Non</w:t>
      </w:r>
      <w:r>
        <w:rPr>
          <w:rFonts w:hint="default" w:ascii="Arial" w:hAnsi="Arial" w:eastAsia="Arial" w:cs="Arial"/>
          <w:i w:val="0"/>
          <w:iCs w:val="0"/>
          <w:caps w:val="0"/>
          <w:color w:val="000000"/>
          <w:spacing w:val="0"/>
          <w:sz w:val="24"/>
          <w:szCs w:val="24"/>
          <w:shd w:val="clear" w:fill="FFFFFF"/>
        </w:rPr>
        <w:noBreakHyphen/>
      </w:r>
      <w:r>
        <w:rPr>
          <w:rFonts w:hint="default" w:ascii="Arial" w:hAnsi="Arial" w:eastAsia="Arial" w:cs="Arial"/>
          <w:i w:val="0"/>
          <w:iCs w:val="0"/>
          <w:caps w:val="0"/>
          <w:color w:val="000000"/>
          <w:spacing w:val="0"/>
          <w:sz w:val="24"/>
          <w:szCs w:val="24"/>
          <w:shd w:val="clear" w:fill="FFFFFF"/>
        </w:rPr>
        <w:t>governmental private educational institution of higher education «Moscow Financial and Industrial University „Synergy“».</w:t>
      </w:r>
    </w:p>
    <w:p w14:paraId="2E34BB75">
      <w:pPr>
        <w:pStyle w:val="4"/>
        <w:spacing w:line="360" w:lineRule="auto"/>
        <w:ind w:right="3" w:firstLine="709"/>
        <w:jc w:val="right"/>
        <w:rPr>
          <w:rFonts w:hint="default" w:ascii="Times New Roman" w:hAnsi="Times New Roman" w:eastAsia="Times New Roman" w:cs="Times New Roman"/>
          <w:sz w:val="28"/>
          <w:szCs w:val="28"/>
          <w:lang w:eastAsia="ru-RU"/>
        </w:rPr>
      </w:pPr>
      <w:r>
        <w:rPr>
          <w:rFonts w:hint="default" w:ascii="Times New Roman" w:hAnsi="Times New Roman" w:eastAsia="Arial" w:cs="Times New Roman"/>
          <w:b w:val="0"/>
          <w:bCs w:val="0"/>
          <w:i w:val="0"/>
          <w:iCs w:val="0"/>
          <w:caps w:val="0"/>
          <w:color w:val="000000"/>
          <w:spacing w:val="0"/>
          <w:sz w:val="28"/>
          <w:szCs w:val="28"/>
          <w:shd w:val="clear" w:color="auto" w:fill="auto"/>
          <w:lang w:val="en-US"/>
        </w:rPr>
        <w:t>bartasovagalina@yandex.ru</w:t>
      </w:r>
      <w:bookmarkStart w:id="0" w:name="_GoBack"/>
      <w:bookmarkEnd w:id="0"/>
    </w:p>
    <w:p w14:paraId="184529E4">
      <w:pPr>
        <w:keepNext w:val="0"/>
        <w:keepLines w:val="0"/>
        <w:pageBreakBefore w:val="0"/>
        <w:widowControl w:val="0"/>
        <w:kinsoku/>
        <w:wordWrap/>
        <w:overflowPunct/>
        <w:topLinePunct w:val="0"/>
        <w:autoSpaceDE w:val="0"/>
        <w:autoSpaceDN w:val="0"/>
        <w:bidi w:val="0"/>
        <w:adjustRightInd w:val="0"/>
        <w:snapToGrid/>
        <w:spacing w:after="0" w:line="360" w:lineRule="auto"/>
        <w:ind w:left="275" w:leftChars="125"/>
        <w:jc w:val="center"/>
        <w:textAlignment w:val="auto"/>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БАНКРОТСТВО ФИЗИЧЕСКИХ ЛИЦ: ПРОБЛЕМЫ ТЕОРИИ И ПРАКТИКИ</w:t>
      </w:r>
    </w:p>
    <w:p w14:paraId="27128E20">
      <w:pPr>
        <w:keepNext w:val="0"/>
        <w:keepLines w:val="0"/>
        <w:pageBreakBefore w:val="0"/>
        <w:widowControl w:val="0"/>
        <w:kinsoku/>
        <w:wordWrap/>
        <w:overflowPunct/>
        <w:topLinePunct w:val="0"/>
        <w:autoSpaceDE w:val="0"/>
        <w:autoSpaceDN w:val="0"/>
        <w:bidi w:val="0"/>
        <w:adjustRightInd w:val="0"/>
        <w:snapToGrid/>
        <w:spacing w:after="0" w:line="360" w:lineRule="auto"/>
        <w:ind w:left="275" w:leftChars="125"/>
        <w:jc w:val="center"/>
        <w:textAlignment w:val="auto"/>
        <w:rPr>
          <w:rFonts w:hint="default" w:ascii="Times New Roman" w:hAnsi="Times New Roman" w:eastAsia="Times New Roman" w:cs="Times New Roman"/>
          <w:b/>
          <w:sz w:val="28"/>
          <w:szCs w:val="28"/>
          <w:lang w:eastAsia="ru-RU"/>
        </w:rPr>
      </w:pPr>
      <w:r>
        <w:rPr>
          <w:rFonts w:hint="default" w:ascii="Arial" w:hAnsi="Arial" w:eastAsia="Arial" w:cs="Arial"/>
          <w:i/>
          <w:iCs/>
          <w:caps w:val="0"/>
          <w:color w:val="000000"/>
          <w:spacing w:val="0"/>
          <w:sz w:val="24"/>
          <w:szCs w:val="24"/>
          <w:shd w:val="clear" w:fill="FFFFFF"/>
        </w:rPr>
        <w:t>Bankruptcy of Individuals: Problems of Theory and Practice</w:t>
      </w:r>
    </w:p>
    <w:p w14:paraId="5B3123DA">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b/>
          <w:i/>
          <w:sz w:val="28"/>
          <w:szCs w:val="28"/>
          <w:lang w:eastAsia="ru-RU"/>
        </w:rPr>
      </w:pPr>
      <w:r>
        <w:rPr>
          <w:rFonts w:hint="default" w:ascii="Times New Roman" w:hAnsi="Times New Roman" w:cs="Times New Roman"/>
          <w:b/>
          <w:i/>
          <w:sz w:val="28"/>
          <w:szCs w:val="28"/>
          <w:lang w:eastAsia="ru-RU"/>
        </w:rPr>
        <w:t>Аннотация.</w:t>
      </w:r>
      <w:r>
        <w:rPr>
          <w:rFonts w:hint="default" w:ascii="Times New Roman" w:hAnsi="Times New Roman" w:cs="Times New Roman"/>
          <w:i/>
          <w:sz w:val="28"/>
          <w:szCs w:val="28"/>
          <w:lang w:eastAsia="ru-RU"/>
        </w:rPr>
        <w:t xml:space="preserve"> В статье рассматриваются случаи неспособности граждан в полном объем выполнять свои финансовые обязательства перед кредиторами, приводятся основания, порядок и последствия признания арбитражным судом гражданина несостоятельным (банкротом), очерёдность удовлетворения требований кредиторов, порядок применения процедур в деле о несостоятельности (банкротстве) гражданина.</w:t>
      </w:r>
    </w:p>
    <w:p w14:paraId="3CEDBED7">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i/>
          <w:sz w:val="28"/>
          <w:szCs w:val="28"/>
          <w:lang w:eastAsia="ru-RU"/>
        </w:rPr>
      </w:pPr>
      <w:r>
        <w:rPr>
          <w:rFonts w:hint="default" w:ascii="Times New Roman" w:hAnsi="Times New Roman" w:cs="Times New Roman"/>
          <w:b/>
          <w:i/>
          <w:sz w:val="28"/>
          <w:szCs w:val="28"/>
          <w:lang w:eastAsia="ru-RU"/>
        </w:rPr>
        <w:t>Ключевые слова:</w:t>
      </w:r>
      <w:r>
        <w:rPr>
          <w:rFonts w:hint="default" w:ascii="Times New Roman" w:hAnsi="Times New Roman" w:cs="Times New Roman"/>
          <w:i/>
          <w:sz w:val="28"/>
          <w:szCs w:val="28"/>
          <w:lang w:eastAsia="ru-RU"/>
        </w:rPr>
        <w:t xml:space="preserve"> несостоятельность, банкротство, физические лица, кредитор, финансовые обязательства, арбитражный суд, долг, реструктуризация долгов, рассрочка платежей, платёжеспособность, финансовый управляющий.</w:t>
      </w:r>
    </w:p>
    <w:p w14:paraId="4AE0F67A">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Arial" w:hAnsi="Arial" w:eastAsia="Arial" w:cs="Arial"/>
          <w:b/>
          <w:bCs/>
          <w:caps w:val="0"/>
          <w:color w:val="000000"/>
          <w:spacing w:val="0"/>
          <w:sz w:val="24"/>
          <w:szCs w:val="24"/>
          <w:shd w:val="clear" w:fill="FFFFFF"/>
        </w:rPr>
      </w:pPr>
      <w:r>
        <w:rPr>
          <w:rFonts w:hint="default" w:ascii="Arial" w:hAnsi="Arial" w:eastAsia="Arial" w:cs="Arial"/>
          <w:b/>
          <w:bCs/>
          <w:caps w:val="0"/>
          <w:color w:val="000000"/>
          <w:spacing w:val="0"/>
          <w:sz w:val="24"/>
          <w:szCs w:val="24"/>
          <w:shd w:val="clear" w:fill="FFFFFF"/>
        </w:rPr>
        <w:t>Abstract</w:t>
      </w:r>
    </w:p>
    <w:p w14:paraId="30DC6105">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eastAsia="Arial" w:cs="Times New Roman"/>
          <w:caps w:val="0"/>
          <w:color w:val="000000"/>
          <w:spacing w:val="0"/>
          <w:sz w:val="28"/>
          <w:szCs w:val="28"/>
        </w:rPr>
      </w:pPr>
      <w:r>
        <w:rPr>
          <w:rFonts w:hint="default" w:ascii="Times New Roman" w:hAnsi="Times New Roman" w:eastAsia="Arial" w:cs="Times New Roman"/>
          <w:caps w:val="0"/>
          <w:color w:val="000000"/>
          <w:spacing w:val="0"/>
          <w:sz w:val="28"/>
          <w:szCs w:val="28"/>
          <w:shd w:val="clear" w:fill="FFFFFF"/>
        </w:rPr>
        <w:t>The article examines cases of citizens’ inability to fully meet their financial obligations to creditors. It outlines the grounds, procedure and consequences of a citizen being declared insolvent (bankrupt) by an arbitration court, the order of satisfying creditors’ claims, and the procedure for applying insolvency (bankruptcy) proceedings in relation to a citizen.</w:t>
      </w:r>
    </w:p>
    <w:p w14:paraId="640A00E3">
      <w:pPr>
        <w:pStyle w:val="5"/>
        <w:keepNext w:val="0"/>
        <w:keepLines w:val="0"/>
        <w:widowControl/>
        <w:suppressLineNumbers w:val="0"/>
        <w:shd w:val="clear" w:fill="FFFFFF"/>
        <w:spacing w:before="120" w:beforeAutospacing="0" w:after="0" w:afterAutospacing="0" w:line="420" w:lineRule="atLeast"/>
        <w:ind w:left="0" w:right="0" w:firstLine="560" w:firstLineChars="200"/>
        <w:rPr>
          <w:rFonts w:hint="default" w:ascii="Times New Roman" w:hAnsi="Times New Roman" w:cs="Times New Roman"/>
          <w:i/>
          <w:sz w:val="28"/>
          <w:szCs w:val="28"/>
          <w:lang w:eastAsia="ru-RU"/>
        </w:rPr>
      </w:pPr>
      <w:r>
        <w:rPr>
          <w:rFonts w:hint="default" w:ascii="Times New Roman" w:hAnsi="Times New Roman" w:eastAsia="Arial" w:cs="Times New Roman"/>
          <w:b/>
          <w:bCs/>
          <w:caps w:val="0"/>
          <w:color w:val="000000"/>
          <w:spacing w:val="0"/>
          <w:sz w:val="28"/>
          <w:szCs w:val="28"/>
          <w:shd w:val="clear" w:fill="FFFFFF"/>
        </w:rPr>
        <w:t>Keywords:</w:t>
      </w:r>
      <w:r>
        <w:rPr>
          <w:rFonts w:hint="default" w:ascii="Times New Roman" w:hAnsi="Times New Roman" w:eastAsia="Arial" w:cs="Times New Roman"/>
          <w:caps w:val="0"/>
          <w:color w:val="000000"/>
          <w:spacing w:val="0"/>
          <w:sz w:val="28"/>
          <w:szCs w:val="28"/>
          <w:shd w:val="clear" w:fill="FFFFFF"/>
        </w:rPr>
        <w:t> insolvency, bankruptcy, individuals, creditor, financial obligations, arbitration court, debt, debt restructuring, payment instalments, solvency, financial manager.</w:t>
      </w:r>
    </w:p>
    <w:p w14:paraId="3468830A">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Законодательство Российской Федерации, регламентирующее несостоятельность (банкротство), находится в постоянном развитии и совершенствовании. Законом, регулирующим в настоящее время вопросы несостоятельности (банкротства) является Федеральный закон РФ от 26 октября 2002 г. (в ред. от 07.03.2018 г) «О несостоятельности (банкротстве)» (далее по тексту - Закон о банкротстве). Данный нормативно-правовой акт устанавливает основания, порядок и последствия признания арбитражным судом гражданина несостоятельным (банкротом), очерёдность удовлетворения требований кредиторов, порядок применения процедур в деле о несостоятельности (банкротстве) гражданина.</w:t>
      </w:r>
    </w:p>
    <w:p w14:paraId="2E83ACDA">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статье 2 Закона о банкротстве указывается, что несостоятельность (банкротство) - это признанная арбитражным судом неспособность должника в полном объем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[1,ст. 2].</w:t>
      </w:r>
    </w:p>
    <w:p w14:paraId="770BF57C">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Если имеются достаточные основания полагать, что с учётом планируемых поступлений денежных средств, в том числе доходов от деятельности гражданина и погашения задолженности перед ним, гражданин в течение непродолжительного времени сможет исполнить в полном объем денежные обязательства и (или) обязанность по уплате обязательных платежей, срок исполнения которых наступил, гражданин не может быть признан неплатёжеспособным.</w:t>
      </w:r>
    </w:p>
    <w:p w14:paraId="0DFF5F88">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Федеральный закон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закрепил обязанность гражданина в случае невозможности удовлетворения требований одного или нескольких кредиторов обратиться в арбитражный суд с заявлением о признании его банкротом. [2,ст. 2].</w:t>
      </w:r>
    </w:p>
    <w:p w14:paraId="15F71BDE">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Принятый вышеназванный закон помог в большей степени реализовать уже существующий механизм банкротства граждан.</w:t>
      </w:r>
    </w:p>
    <w:p w14:paraId="1DC026CC">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Ч.1 ст.213.3 Закона о банкротстве устанавливает, что правом на обращение в арбитражный суд с заявлением о признании гражданина банкротом обладают гражданин, конкурсный кредитор, уполномоченный орган.</w:t>
      </w:r>
    </w:p>
    <w:p w14:paraId="7E760D81">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Согласно ст.213.2 Закона о банкротстве, чтобы быть признанным банкротом, физическое лицо должно соответствовать следующим критериям:</w:t>
      </w:r>
    </w:p>
    <w:p w14:paraId="0053C317">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иметь долг в размере не менее пятисот тысяч рублей;</w:t>
      </w:r>
    </w:p>
    <w:p w14:paraId="209A780B">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обладать доказательствами невозможности выплачивать долг в течение последних 90 дней;</w:t>
      </w:r>
    </w:p>
    <w:p w14:paraId="2A9330C1">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предпринять попытки расплатиться по долговым обязательствам, провести реструктуризацию долгов, заключить соглашения с кредиторами о рассрочке платежей.</w:t>
      </w:r>
    </w:p>
    <w:p w14:paraId="39FD9921">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Таким образом, не каждый должник, временно не способный исполнять свои денежные обязательства перед кредиторами, может быть признан банкротом. Признание гражданина банкротом выгодно в случаях:</w:t>
      </w:r>
    </w:p>
    <w:p w14:paraId="60FD1E41">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если размер сумм долговых обязательств больше, чем стоимость всего имеющегося у должника имущества. В таком случае после реализации имущества должника, не покрытые долги подлежат аннулированию;</w:t>
      </w:r>
    </w:p>
    <w:p w14:paraId="4C0B3990">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при наличии у должника квартиры или дома, то есть единственного места проживания, такое имущество продаже не подлежит. В соответствии со ст.446 Гражданско-процессуального кодекса РФ на единственное жилое помещение, принадлежащее должнику, не может быть обращено взыскание, за исключением случаев, когда такое имущество является предметом ипотеки [3,ст. 446].</w:t>
      </w:r>
    </w:p>
    <w:p w14:paraId="7F41F1FD">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На официальном сайте Арбитражного суда Краснодарского края можно ознакомиться со списком имущества гражданина должника, которое не может быть передано на реализацию:</w:t>
      </w:r>
    </w:p>
    <w:p w14:paraId="6656E4DA">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w:t>
      </w:r>
    </w:p>
    <w:p w14:paraId="3EA1C2AF">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земельные участки, на которых расположены жилые помещения, являющиеся единственно пригодными для постоянного проживания;</w:t>
      </w:r>
    </w:p>
    <w:p w14:paraId="40A6ED4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14:paraId="2ACCBC7D">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минимальных размеров оплаты труда[4].</w:t>
      </w:r>
    </w:p>
    <w:p w14:paraId="3AE1639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соответствии со ст.213.2 Закона о банкротстве при рассмотрении дела о банкротстве гражданина применяются реструктуризация долгов гражданина, реализация имущества гражданина, мировое соглашение. Остановимся более подробно на каждой из этих процедур.</w:t>
      </w:r>
    </w:p>
    <w:p w14:paraId="332284D3">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Реструктуризацией долгов является процедура, направленная на восстановление платёжеспособности должника. В основе реструктуризации должен быть план, который утверждается собранием кредиторов, должником и судом, рассматривающим дело.</w:t>
      </w:r>
    </w:p>
    <w:p w14:paraId="4C69CEE6">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Срок реализации плана не может превышать трёх лет. По итогам</w:t>
      </w:r>
    </w:p>
    <w:p w14:paraId="6A80805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рассмотрения результатов исполнения плана реструктуризации долгов гражданина, жалоб кредиторов арбитражный суд принимает один из следующих судебных актов:</w:t>
      </w:r>
    </w:p>
    <w:p w14:paraId="6FACCAF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определение о завершении реструктуризации долгов гражданина в случае, если задолженность, предусмотренная указанным планом, погашена, и жалобы кредиторов признаны необоснованными;</w:t>
      </w:r>
    </w:p>
    <w:p w14:paraId="7CB12296">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определение об отмене указанного плана и решение о признании гражданина банкротом в случае, если имеются основания для отмены указанного плана.</w:t>
      </w:r>
    </w:p>
    <w:p w14:paraId="398A2D32">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С момента введения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 приобретать доли (акции, паи) в уставных (складочных) капиталах или паевых фондах юридических лиц, а также совершать безвозмездные для гражданина сделки.</w:t>
      </w:r>
    </w:p>
    <w:p w14:paraId="76632BAB">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Процедура реструктуризации долгов направлена на максимальное удовлетворение всех требований кредиторов при соблюдении баланса интересов сторон с обязательным доказыванием фактов злоупотребления правом.</w:t>
      </w:r>
    </w:p>
    <w:p w14:paraId="7345C72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Закона о банкротстве устанавливает [1, П.8 ст. 213.6], что в результате рассмотрения обоснованности заявления о признании гражданина банкротом, если гражданин не соответствует требованиям для утверждения плана реструктуризации долгов, установленным п.1 ст. 213.13 Закона о банкротстве, арбитражный суд вправе по основаниям ходатайства гражданина принять решение о признании его банкротом и введении процедуры реализации его имущества.</w:t>
      </w:r>
    </w:p>
    <w:p w14:paraId="5D72297E">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Реализация имущества гражданина вводится на срок не более чем 6 месяцев. При принятии решения о признании гражданина банкротом арбитражный суд утверждает в качестве финансового управляющего для участия в процедуре реализации имущества гражданина лицо, исполнявшее обязанности финансового управляющего и участвовавшее в процедуре реструктуризации долгов гражданина, если иная кандидатура к моменту признания гражданина банкротом не будет предложена собранием кредиторов.</w:t>
      </w:r>
    </w:p>
    <w:p w14:paraId="51019F47">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Законом о банкротстве закреплено, что восемьдесят процентов суммы, вырученной от реализации предмета залога, направляется на погашение требований кредитора по обязательствам, обеспеченным залогом имущества должника. Все остальные денежные средства аккумулируются на специальном банковском счете должника с целью дальнейшего удовлетворения требования кредиторов.</w:t>
      </w:r>
    </w:p>
    <w:p w14:paraId="7E705A69">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Финансовый управляющий обязан по результатам реализации имущества должника и удовлетворения требований кредиторов, представить в арбитражный суд отчет, по итогам рассмотрения которого суд выносит определение о завершении реализации имущества.</w:t>
      </w:r>
    </w:p>
    <w:p w14:paraId="1B04688B">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настоящее время изменились правовые последствия признания гражданина банкротом[5, ст. 7]. А именно, гражданин, в отношении которого</w:t>
      </w:r>
    </w:p>
    <w:p w14:paraId="6004E0CD">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завершена процедура реализации имущества или прекращено дело о банкротстве:</w:t>
      </w:r>
    </w:p>
    <w:p w14:paraId="49CA06A9">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в течение трех лет с момента завершения в отношении него таких процедур или производства, он не вправе занимать должности в органах управления юридическими лицами, иным образом участвовать в управлении юридическим лицом, если иное не установлено Законом о банкротстве;</w:t>
      </w:r>
    </w:p>
    <w:p w14:paraId="6B825561">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 в течение десяти лет с момента завершения в отношении него таких процедур или производства, он не вправе занимать должности в органах управления кредитной организации, иным образом участвовать в управлении кредитной организацией.</w:t>
      </w:r>
    </w:p>
    <w:p w14:paraId="09565E48">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Инициаторами процедуры банкротства в отношении физического лица могут стать либо конкурсный кредитор, либо уполномоченный орган. Сведения о том, что должник умер или признан умершим, должны быть обязательно отражены в заявлении о признании гражданина банкротом.</w:t>
      </w:r>
    </w:p>
    <w:p w14:paraId="6F73202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Подводя итог выше сказанному, считаем необходимым отметить, что признание гражданина несостоятельным (банкротом) влечет для последнего множество негативных последствий, ограничивая его права в рамках установленных Законом о банкротстве сроках:</w:t>
      </w:r>
    </w:p>
    <w:p w14:paraId="5ABF63DF">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1) право занимать определенные должности (ограничение свободы труда);</w:t>
      </w:r>
    </w:p>
    <w:p w14:paraId="70660C6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2) прав управления юридическим лицом;</w:t>
      </w:r>
    </w:p>
    <w:p w14:paraId="43B46C9F">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3) право заключения кредитного договора или договора займа.</w:t>
      </w:r>
    </w:p>
    <w:p w14:paraId="105BA0C7">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Нельзя исключать возможность появления недобросовестных</w:t>
      </w:r>
    </w:p>
    <w:p w14:paraId="7882530C">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участников рассматриваемой в данной статье процедуры, в данном случае судам необходимо, соблюдая баланс интересов сторон, не допустить таких лиц к получению контроля над процедурой банкротства.</w:t>
      </w:r>
    </w:p>
    <w:p w14:paraId="3D6363FA">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Литература</w:t>
      </w:r>
    </w:p>
    <w:p w14:paraId="25743EE1">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1 Федеральный закон "О несостоятельности (банкротстве)" от 26.10.2002 N 127-ФЗ (в ред. от 07.03.2018 г.) // Консультант Плюс: комп. справ. правовая система [Электронный ресурс] URL: http://www.consultant.ru. - (Дата обращения: 20.03.2026).</w:t>
      </w:r>
    </w:p>
    <w:p w14:paraId="6DAB0FFD">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2 Федеральный закон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от 29.06.2015 N 154-ФЗ (в ред. от 29.07.2017 г.) // Консультант Плюс: комп. справ. правовая система [Электронный ресурс] URL: http://www.consultant.ru. - (Дата обращения: 20.03.2026).</w:t>
      </w:r>
    </w:p>
    <w:p w14:paraId="6E847E5E">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3 "Гражданский процессуальный кодекс Российской Федерации" от 14.11.2002 N138-ФЗ (ред. от 07.03.2018) // Консультант Плюс: комп. справ. правовая система [Электронный ресурс] URL: http://www.consultant.ru. -(Дата обращения: 20.03.2026).</w:t>
      </w:r>
    </w:p>
    <w:p w14:paraId="5CA04299">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4 Арбитражный суд Краснодарского края [Электронный ресурс] URL: http://krasnodar.arbitr.ru/// - (Дата обращения: 20.03.2026).</w:t>
      </w:r>
    </w:p>
    <w:p w14:paraId="11FB8C7F">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5 Федеральный закон РФ от 29.07.2017 г.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 Консультант Плюс: комп. справ. правовая система [Электронный ресурс] URL: http://www.consultant.ru. - (Дата обращения: 20.03.2026).</w:t>
      </w:r>
    </w:p>
    <w:p w14:paraId="41F4E114">
      <w:pPr>
        <w:pStyle w:val="6"/>
        <w:keepNext w:val="0"/>
        <w:keepLines w:val="0"/>
        <w:pageBreakBefore w:val="0"/>
        <w:kinsoku/>
        <w:wordWrap/>
        <w:overflowPunct/>
        <w:topLinePunct w:val="0"/>
        <w:bidi w:val="0"/>
        <w:snapToGrid/>
        <w:spacing w:line="360" w:lineRule="auto"/>
        <w:ind w:left="275" w:leftChars="125" w:firstLine="601"/>
        <w:jc w:val="both"/>
        <w:textAlignment w:val="auto"/>
        <w:rPr>
          <w:rFonts w:hint="default" w:ascii="Times New Roman" w:hAnsi="Times New Roman" w:cs="Times New Roman"/>
          <w:sz w:val="28"/>
          <w:szCs w:val="28"/>
          <w:lang w:eastAsia="ru-RU"/>
        </w:rPr>
      </w:pPr>
    </w:p>
    <w:p w14:paraId="1962F5D3">
      <w:pPr>
        <w:keepNext w:val="0"/>
        <w:keepLines w:val="0"/>
        <w:pageBreakBefore w:val="0"/>
        <w:widowControl w:val="0"/>
        <w:kinsoku/>
        <w:wordWrap/>
        <w:overflowPunct/>
        <w:topLinePunct w:val="0"/>
        <w:autoSpaceDE w:val="0"/>
        <w:autoSpaceDN w:val="0"/>
        <w:bidi w:val="0"/>
        <w:adjustRightInd w:val="0"/>
        <w:snapToGrid/>
        <w:spacing w:after="0" w:line="360" w:lineRule="auto"/>
        <w:ind w:left="275" w:leftChars="125"/>
        <w:jc w:val="both"/>
        <w:textAlignment w:val="auto"/>
        <w:rPr>
          <w:rFonts w:hint="default" w:ascii="Times New Roman" w:hAnsi="Times New Roman" w:eastAsia="Times New Roman" w:cs="Times New Roman"/>
          <w:i/>
          <w:sz w:val="28"/>
          <w:szCs w:val="28"/>
          <w:lang w:eastAsia="ru-RU"/>
        </w:rPr>
      </w:pPr>
    </w:p>
    <w:p w14:paraId="3D73FE6B">
      <w:pPr>
        <w:keepNext w:val="0"/>
        <w:keepLines w:val="0"/>
        <w:pageBreakBefore w:val="0"/>
        <w:kinsoku/>
        <w:wordWrap/>
        <w:overflowPunct/>
        <w:topLinePunct w:val="0"/>
        <w:bidi w:val="0"/>
        <w:snapToGrid/>
        <w:spacing w:line="360" w:lineRule="auto"/>
        <w:ind w:left="275" w:leftChars="125"/>
        <w:jc w:val="both"/>
        <w:textAlignment w:val="auto"/>
        <w:rPr>
          <w:rFonts w:hint="default" w:ascii="Times New Roman" w:hAnsi="Times New Roman" w:cs="Times New Roman"/>
          <w:sz w:val="28"/>
          <w:szCs w:val="28"/>
        </w:rPr>
      </w:pPr>
    </w:p>
    <w:sectPr>
      <w:pgSz w:w="11906" w:h="16838"/>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hnschrift Light 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ook Antiqua">
    <w:panose1 w:val="02040602050305030304"/>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MS UI Gothic">
    <w:panose1 w:val="020B0600070205080204"/>
    <w:charset w:val="80"/>
    <w:family w:val="auto"/>
    <w:pitch w:val="default"/>
    <w:sig w:usb0="E00002FF" w:usb1="6AC7FDFB" w:usb2="08000012" w:usb3="00000000" w:csb0="4002009F" w:csb1="DFD70000"/>
  </w:font>
  <w:font w:name="Segoe UI Light">
    <w:panose1 w:val="020B05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Bahnschrift SemiBold SemiCondensed">
    <w:panose1 w:val="020B0502040204020203"/>
    <w:charset w:val="00"/>
    <w:family w:val="auto"/>
    <w:pitch w:val="default"/>
    <w:sig w:usb0="A00002C7" w:usb1="00000002"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Garamond">
    <w:panose1 w:val="02020404030301010803"/>
    <w:charset w:val="00"/>
    <w:family w:val="auto"/>
    <w:pitch w:val="default"/>
    <w:sig w:usb0="00000287" w:usb1="00000000" w:usb2="00000000" w:usb3="00000000" w:csb0="0000009F" w:csb1="DFD70000"/>
  </w:font>
  <w:font w:name="NSimSun">
    <w:panose1 w:val="02010609030101010101"/>
    <w:charset w:val="86"/>
    <w:family w:val="auto"/>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B7A6A"/>
    <w:rsid w:val="052B7A6A"/>
    <w:rsid w:val="25377F10"/>
    <w:rsid w:val="42776A64"/>
    <w:rsid w:val="6903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overflowPunct w:val="0"/>
      <w:autoSpaceDE w:val="0"/>
      <w:autoSpaceDN w:val="0"/>
      <w:adjustRightInd w:val="0"/>
      <w:spacing w:after="0" w:line="240" w:lineRule="auto"/>
      <w:jc w:val="both"/>
      <w:textAlignment w:val="baseline"/>
    </w:pPr>
    <w:rPr>
      <w:rFonts w:ascii="Times New Roman" w:hAnsi="Times New Roman" w:eastAsia="Calibri"/>
      <w:sz w:val="20"/>
      <w:szCs w:val="20"/>
      <w:lang w:eastAsia="ru-RU"/>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paragraph" w:styleId="6">
    <w:name w:val="No Spacing"/>
    <w:qFormat/>
    <w:uiPriority w:val="0"/>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2026-04-03T13:17:00Z</dcterms:created>
  <dc:creator>Галина</dc:creator>
  <cp:lastModifiedBy>Галина</cp:lastModifiedBy>
  <dcterms:modified xsi:type="dcterms:W3CDTF">2026-04-03T14:28:12Z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CCF3B1FF33E740F7B726B0F5C6F6D32B_13</vt:lpwstr>
  </property>
</Properties>
</file>