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6E9D7" w14:textId="040F04F6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«Целесообразность применения и проблемы реализации наказаний, не связанных с лишением свободы, в уголовной политике Российской Федерации: анализ судебной практики 2021-2025 гг.»</w:t>
      </w:r>
    </w:p>
    <w:p w14:paraId="2425BEBD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132623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Аннотация. В статье проводится анализ целесообразности и проблем реализации наказаний, не связанных с лишением свободы, в современном российском уголовном праве. Выявлены ключевые тенденции назначения альтернативных мер, а также системные препятствия их эффективного исполнения.</w:t>
      </w:r>
    </w:p>
    <w:p w14:paraId="7A4D7369" w14:textId="4F633B1F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Ключевые слова: наказания, альтернативные санкции, уголовная ответственность, злостное уклонение, уголовно-исполнительные инспекции, гуманизация уголовной политики.</w:t>
      </w:r>
    </w:p>
    <w:p w14:paraId="085186A6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Современная уголовная политика Российской Федерации последовательно реализует принципы гуманизации и индивидуализации уголовной ответственности, закрепленные в ст. 43 УК РФ. Наказания, не связанные с лишением свободы, занимают важное место в системе уголовных санкций, предусмотренных ст. 44 УК РФ. Их сущность заключается в ограничении прав и свобод осужденного без изоляции от общества, что соответствует международным стандартам.</w:t>
      </w:r>
    </w:p>
    <w:p w14:paraId="3AA73964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В отечественной науке данная проблематика активно разрабатывается. Так, Ивлиев П.В. и Никитина О.А. подчеркивают экономическую эффективность и низкий уровень рецидивизма альтернативных наказаний [1]. Бабкина Е.В. анализирует правовые основы деятельности УИИ по их исполнению [2]. Черняева В.А. отмечает целесообразность применения штрафа и обязательных работ по экономическим и должностным преступлениям [3].</w:t>
      </w:r>
    </w:p>
    <w:p w14:paraId="3C5175D0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Вместе с тем нормативная база главы 9 УК РФ и раздел II УИК РФ содержит пробелы в регулировании порядка замены наказаний и контроля за их исполнением, что подтверждается обобщениями судебной практики региональных судов.</w:t>
      </w:r>
    </w:p>
    <w:p w14:paraId="1C218727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Согласно статистическим сведениям Судебного департамента при Верховном Суде РФ за 2025 г. наиболее часто назначаются:</w:t>
      </w:r>
    </w:p>
    <w:p w14:paraId="4D4AADCC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- штраф около 14-15 % от всех осужденных;</w:t>
      </w:r>
    </w:p>
    <w:p w14:paraId="44FA41A7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- обязательные работы 13-14 %;</w:t>
      </w:r>
    </w:p>
    <w:p w14:paraId="4FB575A4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- исправительные работы 9-10 %.</w:t>
      </w:r>
    </w:p>
    <w:p w14:paraId="7F6EE379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Доля принудительных работ и ограничения свободы остается относительно стабильной от 3-5 %. Указанные показатели демонстрируют положительную динамику по сравнению с 2022-2023 гг., однако реальная эффективность исполнения остается низкой.</w:t>
      </w:r>
    </w:p>
    <w:p w14:paraId="5C19A36C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Наиболее острой проблемой является злостное уклонение от отбывания наказания. В 2024-2025 гг. суды рассмотрели десятки тысяч материалов о замене альтернативных мер на лишение свободы в соответствии с ч. 3 ст. 49, ч. 4 ст. 50, ч. 5 ст. 53 УК РФ.</w:t>
      </w:r>
    </w:p>
    <w:p w14:paraId="5E9F59D9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Примером служит Постановление мирового судьи судебного участка № 82 г. Саянска Иркутской области от 20.03.2025 по делу № 4/17-3/2025, где исправительные работы были заменены на лишение свободы вследствие систематических прогулов и неявок в УИИ [4]. Аналогичная практика отражена в Апелляционном постановлении № 22-2023/2025 Анапского городского суда Краснодарского края от 18.03.2025 [5].</w:t>
      </w:r>
    </w:p>
    <w:p w14:paraId="2246BE17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Обобщение практики Астраханского областного суда за второе полугодие 2024 г. подтверждает, что основными причинами замены являются: неоднократные нарушения порядка отбывания, отсутствие трудоустройства и слабый контроль со стороны УИИ [6].</w:t>
      </w:r>
    </w:p>
    <w:p w14:paraId="0EF72D2F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позволяет выделить три основные группы проблем, представим их </w:t>
      </w: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подробнее далее.</w:t>
      </w:r>
    </w:p>
    <w:p w14:paraId="3B8D19B9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Во-первых, правовые проблемы. Недостаточная детализация критериев «злостности» уклонения и отсутствие четких механизмов дифференциации ответственности.</w:t>
      </w:r>
    </w:p>
    <w:p w14:paraId="2F20AA25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Во-вторых, организационно-ресурсные проблемы. Высокая нагрузка на сотрудников УИИ, недостаточное материально-техническое обеспечение и отсутствие современных средств контроля (электронные браслеты применяются ограниченно).</w:t>
      </w:r>
    </w:p>
    <w:p w14:paraId="132C226A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 xml:space="preserve">В-третьих, социально-экономические и психологические факторы. Низкая мотивация осужденных, проблемы трудоустройства, особенно в регионах с высоким уровнем безработицы. </w:t>
      </w:r>
    </w:p>
    <w:p w14:paraId="1F30EF3D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Сравнительно-правовой анализ показывает, что в странах Совета Европы данные проблемы решаются путем развития системы электронного мониторинга и социальных программ реабилитации [7].</w:t>
      </w:r>
    </w:p>
    <w:p w14:paraId="3356A983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Для повышения эффективности предлагается:</w:t>
      </w:r>
    </w:p>
    <w:p w14:paraId="1EB1E2D4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- Внести изменения в ст. 49, 50, 53 УК РФ, установив четкие критерии злостного уклонения и градацию ответственности.</w:t>
      </w:r>
    </w:p>
    <w:p w14:paraId="2957A97F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- Расширить полномочия УИИ по принудительному трудоустройству и внедрить цифровые платформы контроля.</w:t>
      </w:r>
    </w:p>
    <w:p w14:paraId="230E35BF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- Разработать федеральную программу материального стимулирования осужденных к обязательным и исправительным работам.</w:t>
      </w:r>
    </w:p>
    <w:p w14:paraId="7330943C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- Внедрить обязательный курс социально-психологической реабилитации для лиц, впервые осужденных к альтернативным мерам.</w:t>
      </w:r>
    </w:p>
    <w:p w14:paraId="29B3B650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- Усилить взаимодействие судов, УИИ и органов местного самоуправления на основе межведомственных соглашений.</w:t>
      </w:r>
    </w:p>
    <w:p w14:paraId="6E65DFEB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Реализация данных мер позволит существенно повысить исправительный потенциал альтернативных наказаний и снизить нагрузку на пенитенциарную систему в соответствии с Концепцией развития УИС РФ до 2030 года.</w:t>
      </w:r>
    </w:p>
    <w:p w14:paraId="68059002" w14:textId="2CDFFE23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Таким образом, наказания, не связанные с лишением свободы, обладают высоким потенциалом гуманизации уголовной политики Российской Федерации. Однако выявленные в ходе анализа проблемы реализации требуют комплексного законодательного и организационного реагирования. Предложенные меры позволят повысить эффективность альтернативных санкций и приблизить отечественное уголовное право к международным стандартам.</w:t>
      </w:r>
    </w:p>
    <w:p w14:paraId="38728314" w14:textId="77777777" w:rsidR="00081E48" w:rsidRPr="00482368" w:rsidRDefault="00081E48" w:rsidP="0048236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368">
        <w:rPr>
          <w:rFonts w:ascii="Times New Roman" w:eastAsia="Times New Roman" w:hAnsi="Times New Roman"/>
          <w:sz w:val="24"/>
          <w:szCs w:val="24"/>
          <w:lang w:eastAsia="ru-RU"/>
        </w:rPr>
        <w:t>Список литературы</w:t>
      </w:r>
    </w:p>
    <w:p w14:paraId="1C1B74C1" w14:textId="77777777" w:rsidR="00081E48" w:rsidRPr="00482368" w:rsidRDefault="00081E48" w:rsidP="0048236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2368">
        <w:rPr>
          <w:rFonts w:ascii="Times New Roman" w:hAnsi="Times New Roman"/>
          <w:sz w:val="24"/>
          <w:szCs w:val="24"/>
          <w:lang w:eastAsia="ru-RU"/>
        </w:rPr>
        <w:t>Ивлиев П. В., Никитина О. А. Перспективы развития и применения наказаний, не связанных с лишением свободы в современной России // Аграрное и земельное право. – 2024. – № 5. – С. 335–337.</w:t>
      </w:r>
    </w:p>
    <w:p w14:paraId="645AC576" w14:textId="77777777" w:rsidR="00081E48" w:rsidRPr="00482368" w:rsidRDefault="00081E48" w:rsidP="0048236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2368">
        <w:rPr>
          <w:rFonts w:ascii="Times New Roman" w:hAnsi="Times New Roman"/>
          <w:sz w:val="24"/>
          <w:szCs w:val="24"/>
          <w:lang w:eastAsia="ru-RU"/>
        </w:rPr>
        <w:t>Бабкина Е. В. Исполнение наказаний, не связанных с лишением свободы: правовые основы деятельности уголовно-исполнительных инспекций // Уголовно-исполнительное право. – 2023. – № 4. – С. 112–120.</w:t>
      </w:r>
    </w:p>
    <w:p w14:paraId="0956264C" w14:textId="77777777" w:rsidR="00081E48" w:rsidRPr="00482368" w:rsidRDefault="00081E48" w:rsidP="0048236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2368">
        <w:rPr>
          <w:rFonts w:ascii="Times New Roman" w:hAnsi="Times New Roman"/>
          <w:sz w:val="24"/>
          <w:szCs w:val="24"/>
          <w:lang w:eastAsia="ru-RU"/>
        </w:rPr>
        <w:t>Черняева В. А. Наказания, не связанные с лишением свободы: целесообразность и проблемы реализации // Молодой ученый. – 2025. – № 4. – С. 78–89.</w:t>
      </w:r>
    </w:p>
    <w:p w14:paraId="4907F0B3" w14:textId="77777777" w:rsidR="00081E48" w:rsidRPr="00482368" w:rsidRDefault="00081E48" w:rsidP="0048236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2368">
        <w:rPr>
          <w:rFonts w:ascii="Times New Roman" w:hAnsi="Times New Roman"/>
          <w:sz w:val="24"/>
          <w:szCs w:val="24"/>
          <w:lang w:eastAsia="ru-RU"/>
        </w:rPr>
        <w:t>Постановление мирового судьи судебного участка № 82 г. Саянска Иркутской области от 20.03.2025 по делу № 4/17-3/2025.</w:t>
      </w:r>
    </w:p>
    <w:p w14:paraId="50A9DA9E" w14:textId="77777777" w:rsidR="00081E48" w:rsidRPr="00482368" w:rsidRDefault="00081E48" w:rsidP="0048236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2368">
        <w:rPr>
          <w:rFonts w:ascii="Times New Roman" w:hAnsi="Times New Roman"/>
          <w:sz w:val="24"/>
          <w:szCs w:val="24"/>
          <w:lang w:eastAsia="ru-RU"/>
        </w:rPr>
        <w:t>Апелляционное постановление № 22-2023/2025 Анапского городского суда Краснодарского края от 18.03.2025.</w:t>
      </w:r>
    </w:p>
    <w:p w14:paraId="1F34C634" w14:textId="77777777" w:rsidR="00081E48" w:rsidRPr="00482368" w:rsidRDefault="00081E48" w:rsidP="0048236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2368">
        <w:rPr>
          <w:rFonts w:ascii="Times New Roman" w:hAnsi="Times New Roman"/>
          <w:sz w:val="24"/>
          <w:szCs w:val="24"/>
          <w:lang w:eastAsia="ru-RU"/>
        </w:rPr>
        <w:lastRenderedPageBreak/>
        <w:t>Обобщение судебной практики рассмотрения вопросов, связанных с заменой наказания в случае злостного уклонения (Астраханский областной суд, второе полугодие 2025 г.).</w:t>
      </w:r>
    </w:p>
    <w:p w14:paraId="18DBA4AD" w14:textId="5E542087" w:rsidR="00317C02" w:rsidRPr="00482368" w:rsidRDefault="00081E48" w:rsidP="00482368">
      <w:pPr>
        <w:spacing w:line="276" w:lineRule="auto"/>
        <w:rPr>
          <w:rFonts w:ascii="Times New Roman" w:hAnsi="Times New Roman"/>
          <w:sz w:val="24"/>
          <w:szCs w:val="24"/>
        </w:rPr>
      </w:pPr>
      <w:r w:rsidRPr="00482368">
        <w:rPr>
          <w:rFonts w:ascii="Times New Roman" w:hAnsi="Times New Roman"/>
          <w:sz w:val="24"/>
          <w:szCs w:val="24"/>
          <w:lang w:eastAsia="ru-RU"/>
        </w:rPr>
        <w:t>Агабекян А. Л. Стандарты Совета Европы в сфере исполнения альтернативных наказаний: дис. … канд. юрид. наук. – Томск, 2022. – 203 с.</w:t>
      </w:r>
    </w:p>
    <w:sectPr w:rsidR="00317C02" w:rsidRPr="00482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A14A5"/>
    <w:multiLevelType w:val="hybridMultilevel"/>
    <w:tmpl w:val="6690F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5929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29"/>
    <w:rsid w:val="00081E48"/>
    <w:rsid w:val="00103E9B"/>
    <w:rsid w:val="00317C02"/>
    <w:rsid w:val="003C3B9C"/>
    <w:rsid w:val="00482368"/>
    <w:rsid w:val="00483E29"/>
    <w:rsid w:val="00D2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EDA7"/>
  <w15:chartTrackingRefBased/>
  <w15:docId w15:val="{1E254A0A-8180-4F52-A0B3-88375C8C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E48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3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3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3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3E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3E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3E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3E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3E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3E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3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3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3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3E29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483E2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83E29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83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83E29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83E29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qFormat/>
    <w:rsid w:val="00081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2026-04-03T18:48:00Z</dcterms:created>
  <dcterms:modified xsi:type="dcterms:W3CDTF">2026-04-03T18:50:00Z</dcterms:modified>
</cp:coreProperties>
</file>