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 xml:space="preserve">Скрытая химия города: как преподавать </w:t>
      </w:r>
      <w:proofErr w:type="spellStart"/>
      <w:r w:rsidRPr="00BA0B78">
        <w:rPr>
          <w:rStyle w:val="a3"/>
          <w:color w:val="0F1115"/>
        </w:rPr>
        <w:t>урбоэкологию</w:t>
      </w:r>
      <w:proofErr w:type="spellEnd"/>
      <w:r w:rsidRPr="00BA0B78">
        <w:rPr>
          <w:rStyle w:val="a3"/>
          <w:color w:val="0F1115"/>
        </w:rPr>
        <w:t xml:space="preserve"> на уроках химии</w:t>
      </w:r>
    </w:p>
    <w:p w:rsidR="004F18DF" w:rsidRDefault="004F18DF" w:rsidP="00BA0B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7169DB" w:rsidRPr="00265281" w:rsidRDefault="003D1435" w:rsidP="00BA0B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26528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A</w:t>
      </w:r>
      <w:r w:rsidR="00694E2E" w:rsidRPr="0026528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втор</w:t>
      </w:r>
      <w:proofErr w:type="spellEnd"/>
      <w:r w:rsidR="00694E2E" w:rsidRPr="0026528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:</w:t>
      </w:r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proofErr w:type="spellStart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a</w:t>
      </w:r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дерин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a</w:t>
      </w:r>
      <w:proofErr w:type="spellEnd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proofErr w:type="spellStart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a</w:t>
      </w:r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рья</w:t>
      </w:r>
      <w:proofErr w:type="spellEnd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proofErr w:type="spellStart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Борисовн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a</w:t>
      </w:r>
      <w:proofErr w:type="spellEnd"/>
      <w:r w:rsidR="00694E2E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, </w:t>
      </w:r>
    </w:p>
    <w:p w:rsidR="00694E2E" w:rsidRDefault="00694E2E" w:rsidP="00BA0B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gramStart"/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учитель</w:t>
      </w:r>
      <w:proofErr w:type="gramEnd"/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химии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br/>
        <w:t xml:space="preserve">МБОУ СОШ №6 г. </w:t>
      </w:r>
      <w:proofErr w:type="spellStart"/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</w:t>
      </w:r>
      <w:r w:rsidR="003D1435"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a</w:t>
      </w:r>
      <w:r w:rsidRPr="0026528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яногорск</w:t>
      </w:r>
      <w:proofErr w:type="spellEnd"/>
    </w:p>
    <w:p w:rsidR="004F18DF" w:rsidRPr="00265281" w:rsidRDefault="004F18DF" w:rsidP="00BA0B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Введение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>Современный ученик живет не в абстрактной «природе» из учебников, а в сложной антропогенной среде — городе. Это гигантский химический реактор под открытым небом, где ежесекундно протекают тысячи процессов: от фотохимического смога до коррозии инфраструктуры. Однако школьный курс химии часто дистанцируется от этого контекста, оставляя «городскую химию» за скобками. Предлагаем сместить фокус и рассмотреть город как интегрированную химическую систему — идеальную площадку для реализации принципов ФГОС через исследование, проектную деятельность и формирование экологического сознания. Эта статья — о том, как превратить урок химии в лабораторию по исследованию среды обитания.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1. Химия городских сред: от тротуара до небоскреба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 xml:space="preserve">Городскую среду можно </w:t>
      </w:r>
      <w:proofErr w:type="spellStart"/>
      <w:r w:rsidRPr="00BA0B78">
        <w:rPr>
          <w:color w:val="0F1115"/>
        </w:rPr>
        <w:t>деконструктурировать</w:t>
      </w:r>
      <w:proofErr w:type="spellEnd"/>
      <w:r w:rsidRPr="00BA0B78">
        <w:rPr>
          <w:color w:val="0F1115"/>
        </w:rPr>
        <w:t xml:space="preserve"> на взаимосвязанные химические подсистемы. Их изучение делает предмет осязаемым.</w:t>
      </w:r>
    </w:p>
    <w:p w:rsidR="00BA0B78" w:rsidRPr="00BA0B78" w:rsidRDefault="00BA0B78" w:rsidP="00BA0B78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 xml:space="preserve">Атмосферный столб: смог </w:t>
      </w:r>
      <w:proofErr w:type="spellStart"/>
      <w:r w:rsidRPr="00BA0B78">
        <w:rPr>
          <w:rStyle w:val="a3"/>
          <w:color w:val="0F1115"/>
        </w:rPr>
        <w:t>vs</w:t>
      </w:r>
      <w:proofErr w:type="spellEnd"/>
      <w:r w:rsidRPr="00BA0B78">
        <w:rPr>
          <w:rStyle w:val="a3"/>
          <w:color w:val="0F1115"/>
        </w:rPr>
        <w:t>. свежий воздух.</w:t>
      </w:r>
      <w:r w:rsidRPr="00BA0B78">
        <w:rPr>
          <w:color w:val="0F1115"/>
        </w:rPr>
        <w:t> Вместо абстрактного изучения оксидов азота и серы, стоит начать с анализа данных с местной станции мониторинга воздуха (публичные карты, например, </w:t>
      </w:r>
      <w:r w:rsidRPr="00BA0B78">
        <w:rPr>
          <w:rStyle w:val="a3"/>
          <w:color w:val="0F1115"/>
        </w:rPr>
        <w:t>«</w:t>
      </w:r>
      <w:proofErr w:type="spellStart"/>
      <w:r w:rsidRPr="00BA0B78">
        <w:rPr>
          <w:rStyle w:val="a3"/>
          <w:color w:val="0F1115"/>
        </w:rPr>
        <w:t>Яндекс.Карты</w:t>
      </w:r>
      <w:proofErr w:type="spellEnd"/>
      <w:r w:rsidRPr="00BA0B78">
        <w:rPr>
          <w:rStyle w:val="a3"/>
          <w:color w:val="0F1115"/>
        </w:rPr>
        <w:t>» с режимом «Качество воздуха»</w:t>
      </w:r>
      <w:r w:rsidRPr="00BA0B78">
        <w:rPr>
          <w:color w:val="0F1115"/>
        </w:rPr>
        <w:t xml:space="preserve">). Почему в безветренный день у автомагистрали показатели хуже? Здесь уместно разобрать механизм образования приземного озона — типичного городского фотохимического смога, цепную реакцию с участием </w:t>
      </w:r>
      <w:proofErr w:type="spellStart"/>
      <w:r w:rsidRPr="00BA0B78">
        <w:rPr>
          <w:color w:val="0F1115"/>
        </w:rPr>
        <w:t>NOx</w:t>
      </w:r>
      <w:proofErr w:type="spellEnd"/>
      <w:r w:rsidRPr="00BA0B78">
        <w:rPr>
          <w:color w:val="0F1115"/>
        </w:rPr>
        <w:t xml:space="preserve"> и углеводородов [1]. Это живой пример кинетики и катализа.</w:t>
      </w:r>
    </w:p>
    <w:p w:rsidR="00BA0B78" w:rsidRPr="00BA0B78" w:rsidRDefault="00BA0B78" w:rsidP="00BA0B78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Поверхностный слой: химия улиц и фасадов.</w:t>
      </w:r>
      <w:r w:rsidRPr="00BA0B78">
        <w:rPr>
          <w:color w:val="0F1115"/>
        </w:rPr>
        <w:t> Почему бетон «стареет», а медная кровля зеленеет? Изучение коррозии и эрозии материалов (бетона, металлов, стекла) под воздействием реагентов, кислотных дождей и биопленок — это прикладная электрохимия и материаловедение. Можно провести мини-исследование: сравнить скорость потускнения медных монет в разных районах города.</w:t>
      </w:r>
    </w:p>
    <w:p w:rsidR="00BA0B78" w:rsidRPr="00BA0B78" w:rsidRDefault="00BA0B78" w:rsidP="00BA0B78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 xml:space="preserve">Гидросфера города: </w:t>
      </w:r>
      <w:proofErr w:type="spellStart"/>
      <w:r w:rsidRPr="00BA0B78">
        <w:rPr>
          <w:rStyle w:val="a3"/>
          <w:color w:val="0F1115"/>
        </w:rPr>
        <w:t>ливневка</w:t>
      </w:r>
      <w:proofErr w:type="spellEnd"/>
      <w:r w:rsidRPr="00BA0B78">
        <w:rPr>
          <w:rStyle w:val="a3"/>
          <w:color w:val="0F1115"/>
        </w:rPr>
        <w:t xml:space="preserve"> и водоемы.</w:t>
      </w:r>
      <w:r w:rsidRPr="00BA0B78">
        <w:rPr>
          <w:color w:val="0F1115"/>
        </w:rPr>
        <w:t> Куда исчезают реагенты после зимы и моющие средства после мойки машин? Тема «Свойства воды» оживает, когда мы рассматриваем городской водоем как приемник стоков. Проект по оценке состояния малой реки или пруда (</w:t>
      </w:r>
      <w:proofErr w:type="spellStart"/>
      <w:r w:rsidRPr="00BA0B78">
        <w:rPr>
          <w:color w:val="0F1115"/>
        </w:rPr>
        <w:t>pH</w:t>
      </w:r>
      <w:proofErr w:type="spellEnd"/>
      <w:r w:rsidRPr="00BA0B78">
        <w:rPr>
          <w:color w:val="0F1115"/>
        </w:rPr>
        <w:t>, жесткость, нитраты, ПАВ) становится комплексным исследованием, интегрирующим знание о классах соединений и их миграции.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2. Город как источник сырья: химия вторичных ресурсов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 xml:space="preserve">Свалка — это </w:t>
      </w:r>
      <w:proofErr w:type="gramStart"/>
      <w:r w:rsidRPr="00BA0B78">
        <w:rPr>
          <w:color w:val="0F1115"/>
        </w:rPr>
        <w:t>не финал</w:t>
      </w:r>
      <w:proofErr w:type="gramEnd"/>
      <w:r w:rsidRPr="00BA0B78">
        <w:rPr>
          <w:color w:val="0F1115"/>
        </w:rPr>
        <w:t>, а потенциальное месторождение. Это ключевой тезис для формирования экономики замкнутого цикла.</w:t>
      </w:r>
    </w:p>
    <w:p w:rsidR="00BA0B78" w:rsidRPr="00BA0B78" w:rsidRDefault="00BA0B78" w:rsidP="00BA0B78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Металлургия из мусорного бака.</w:t>
      </w:r>
      <w:r w:rsidRPr="00BA0B78">
        <w:rPr>
          <w:color w:val="0F1115"/>
        </w:rPr>
        <w:t xml:space="preserve"> Изучение электрохимических рядов напряжений металлов можно подкрепить задачей: «Какой металл наиболее выгодно и </w:t>
      </w:r>
      <w:proofErr w:type="spellStart"/>
      <w:r w:rsidRPr="00BA0B78">
        <w:rPr>
          <w:color w:val="0F1115"/>
        </w:rPr>
        <w:t>экологично</w:t>
      </w:r>
      <w:proofErr w:type="spellEnd"/>
      <w:r w:rsidRPr="00BA0B78">
        <w:rPr>
          <w:color w:val="0F1115"/>
        </w:rPr>
        <w:t xml:space="preserve"> извлекать из электронного лома (старых гаджетов) и почему?». Это приводит к теме </w:t>
      </w:r>
      <w:proofErr w:type="spellStart"/>
      <w:r w:rsidRPr="00BA0B78">
        <w:rPr>
          <w:color w:val="0F1115"/>
        </w:rPr>
        <w:t>гидро</w:t>
      </w:r>
      <w:proofErr w:type="spellEnd"/>
      <w:r w:rsidRPr="00BA0B78">
        <w:rPr>
          <w:color w:val="0F1115"/>
        </w:rPr>
        <w:t>- и пирометаллургических процессов, редкоземельных элементов [2]. Например, можно разобрать процесс извлечения лития из аккумуляторов.</w:t>
      </w:r>
    </w:p>
    <w:p w:rsidR="00BA0B78" w:rsidRPr="00BA0B78" w:rsidRDefault="00BA0B78" w:rsidP="00BA0B78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Полимеры: идентификация и судьба.</w:t>
      </w:r>
      <w:r w:rsidRPr="00BA0B78">
        <w:rPr>
          <w:color w:val="0F1115"/>
        </w:rPr>
        <w:t> Практическая работа по маркировке пластика (1-7 в треугольнике) и изучению свойств PET, HDPE, PVC делает химию полимеров понятной. Обсуждение технологий деполимеризации (например, химической переработки PET в исходные мономеры) показывает науку в действии для решения мусорного кризиса.</w:t>
      </w:r>
    </w:p>
    <w:p w:rsidR="00BA0B78" w:rsidRPr="00BA0B78" w:rsidRDefault="00BA0B78" w:rsidP="00BA0B78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 xml:space="preserve">Органические отходы: от биогаза до </w:t>
      </w:r>
      <w:proofErr w:type="spellStart"/>
      <w:r w:rsidRPr="00BA0B78">
        <w:rPr>
          <w:rStyle w:val="a3"/>
          <w:color w:val="0F1115"/>
        </w:rPr>
        <w:t>биочара</w:t>
      </w:r>
      <w:proofErr w:type="spellEnd"/>
      <w:r w:rsidRPr="00BA0B78">
        <w:rPr>
          <w:rStyle w:val="a3"/>
          <w:color w:val="0F1115"/>
        </w:rPr>
        <w:t>.</w:t>
      </w:r>
      <w:r w:rsidRPr="00BA0B78">
        <w:rPr>
          <w:color w:val="0F1115"/>
        </w:rPr>
        <w:t xml:space="preserve"> Компостирование и анаэробное сбраживание — это биохимические процессы, которые можно смоделировать и обсудить. Производство </w:t>
      </w:r>
      <w:proofErr w:type="spellStart"/>
      <w:r w:rsidRPr="00BA0B78">
        <w:rPr>
          <w:color w:val="0F1115"/>
        </w:rPr>
        <w:t>биочара</w:t>
      </w:r>
      <w:proofErr w:type="spellEnd"/>
      <w:r w:rsidRPr="00BA0B78">
        <w:rPr>
          <w:color w:val="0F1115"/>
        </w:rPr>
        <w:t xml:space="preserve"> (технического углерода) из отходов — прямая связь с темой «Углерод и его соединения».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3. Лаборатория под ногами: методы полевой химии в образовании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>Для исследований не нужна сложная лаборатория. Достаточно набора для простого химического анализа (тест-полоски, колориметрические наборы).</w:t>
      </w:r>
    </w:p>
    <w:p w:rsidR="00BA0B78" w:rsidRPr="00BA0B78" w:rsidRDefault="00BA0B78" w:rsidP="00BA0B78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Картографирование городской среды.</w:t>
      </w:r>
      <w:r w:rsidRPr="00BA0B78">
        <w:rPr>
          <w:color w:val="0F1115"/>
        </w:rPr>
        <w:t xml:space="preserve"> Ученики могут стать создателями экологического атласа района: карта кислотности осадков (по </w:t>
      </w:r>
      <w:proofErr w:type="spellStart"/>
      <w:r w:rsidRPr="00BA0B78">
        <w:rPr>
          <w:color w:val="0F1115"/>
        </w:rPr>
        <w:t>pH</w:t>
      </w:r>
      <w:proofErr w:type="spellEnd"/>
      <w:r w:rsidRPr="00BA0B78">
        <w:rPr>
          <w:color w:val="0F1115"/>
        </w:rPr>
        <w:t xml:space="preserve"> снега или дождевой воды), карта засоленности почв у дорог (определение ионов хлора), карта интенсивности коррозии (по состоянию металлических оград). </w:t>
      </w:r>
      <w:r w:rsidRPr="00BA0B78">
        <w:rPr>
          <w:rStyle w:val="a3"/>
          <w:color w:val="0F1115"/>
        </w:rPr>
        <w:t>Проект «Карта городской ржавчины»</w:t>
      </w:r>
      <w:r w:rsidRPr="00BA0B78">
        <w:rPr>
          <w:color w:val="0F1115"/>
        </w:rPr>
        <w:t> нагляден и понятен. Как отмечают экологи-химики, «полевые методы экспресс-оценки являются важнейшим инструментом для формирования экологической грамотности и исследовательских навыков» [3].</w:t>
      </w:r>
    </w:p>
    <w:p w:rsidR="00BA0B78" w:rsidRPr="00BA0B78" w:rsidRDefault="00BA0B78" w:rsidP="00BA0B78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Гражданская наука.</w:t>
      </w:r>
      <w:r w:rsidRPr="00BA0B78">
        <w:rPr>
          <w:color w:val="0F1115"/>
        </w:rPr>
        <w:t> Данные, собранные школьниками с помощью доступных сенсоров (например, портативных датчиков пыли PM2.5), могут иметь реальную научную ценность и пополнять открытые базы данных. Это демонстрирует социальную роль химика.</w:t>
      </w:r>
    </w:p>
    <w:p w:rsidR="00BA0B78" w:rsidRPr="00BA0B78" w:rsidRDefault="00BA0B78" w:rsidP="00BA0B78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Экспертиза быта.</w:t>
      </w:r>
      <w:r w:rsidRPr="00BA0B78">
        <w:rPr>
          <w:color w:val="0F1115"/>
        </w:rPr>
        <w:t> Анализ состава бытовой химии, изучение принципа действия ионов серебра в «антибактериальных» покрытиях или фосфатов в стиральных порошках. Это воспитывает критическое мышление и осознанное потребление.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4. Формирование экологической ответственности через химическое знание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>Ключевой вывод из такого курса — понимание причинно-следственных связей и личной ответственности.</w:t>
      </w:r>
    </w:p>
    <w:p w:rsidR="00BA0B78" w:rsidRPr="00BA0B78" w:rsidRDefault="00BA0B78" w:rsidP="00BA0B78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От диагностики к проектированию.</w:t>
      </w:r>
      <w:r w:rsidRPr="00BA0B78">
        <w:rPr>
          <w:color w:val="0F1115"/>
        </w:rPr>
        <w:t> Исследование проблемы — лишь первый шаг. Второй — проектирование решений: «Как химическими методами можно снизить выбросы от котельной?», «Какой сорбент эффективнее всего для очистки ливневых стоков от нефтепродуктов?». Это развивает системное мышление и инженерный подход.</w:t>
      </w:r>
    </w:p>
    <w:p w:rsidR="00BA0B78" w:rsidRPr="00BA0B78" w:rsidRDefault="00BA0B78" w:rsidP="00BA0B78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Моделирование и прогноз.</w:t>
      </w:r>
      <w:r w:rsidRPr="00BA0B78">
        <w:rPr>
          <w:color w:val="0F1115"/>
        </w:rPr>
        <w:t> Использование простых компьютерных моделей (например, для рассеивания загрязняющих веществ) помогает понять, как химические законы управляют экологическими процессами в городском масштабе.</w:t>
      </w:r>
    </w:p>
    <w:p w:rsidR="00BA0B78" w:rsidRPr="00BA0B78" w:rsidRDefault="00BA0B78" w:rsidP="00BA0B78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Профессии будущего.</w:t>
      </w:r>
      <w:r w:rsidRPr="00BA0B78">
        <w:rPr>
          <w:color w:val="0F1115"/>
        </w:rPr>
        <w:t> Обсуждение таких специальностей, как </w:t>
      </w:r>
      <w:proofErr w:type="spellStart"/>
      <w:r w:rsidRPr="00BA0B78">
        <w:rPr>
          <w:rStyle w:val="a3"/>
          <w:color w:val="0F1115"/>
        </w:rPr>
        <w:t>урбоэколог</w:t>
      </w:r>
      <w:proofErr w:type="spellEnd"/>
      <w:r w:rsidRPr="00BA0B78">
        <w:rPr>
          <w:color w:val="0F1115"/>
        </w:rPr>
        <w:t>, </w:t>
      </w:r>
      <w:r w:rsidRPr="00BA0B78">
        <w:rPr>
          <w:rStyle w:val="a3"/>
          <w:color w:val="0F1115"/>
        </w:rPr>
        <w:t>специалист по циклической экономике</w:t>
      </w:r>
      <w:r w:rsidRPr="00BA0B78">
        <w:rPr>
          <w:color w:val="0F1115"/>
        </w:rPr>
        <w:t>, </w:t>
      </w:r>
      <w:r w:rsidRPr="00BA0B78">
        <w:rPr>
          <w:rStyle w:val="a3"/>
          <w:color w:val="0F1115"/>
        </w:rPr>
        <w:t>химик-</w:t>
      </w:r>
      <w:proofErr w:type="spellStart"/>
      <w:r w:rsidRPr="00BA0B78">
        <w:rPr>
          <w:rStyle w:val="a3"/>
          <w:color w:val="0F1115"/>
        </w:rPr>
        <w:t>рециклер</w:t>
      </w:r>
      <w:proofErr w:type="spellEnd"/>
      <w:r w:rsidRPr="00BA0B78">
        <w:rPr>
          <w:color w:val="0F1115"/>
        </w:rPr>
        <w:t>, </w:t>
      </w:r>
      <w:r w:rsidRPr="00BA0B78">
        <w:rPr>
          <w:rStyle w:val="a3"/>
          <w:color w:val="0F1115"/>
        </w:rPr>
        <w:t>разработчик «зеленых» материалов</w:t>
      </w:r>
      <w:r w:rsidRPr="00BA0B78">
        <w:rPr>
          <w:color w:val="0F1115"/>
        </w:rPr>
        <w:t>, показывает востребованность химических знаний для устойчивого развития городов.</w:t>
      </w:r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Заключение</w:t>
      </w:r>
    </w:p>
    <w:p w:rsid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color w:val="0F1115"/>
        </w:rPr>
        <w:t xml:space="preserve">Преподавание химии через призму </w:t>
      </w:r>
      <w:proofErr w:type="spellStart"/>
      <w:r w:rsidRPr="00BA0B78">
        <w:rPr>
          <w:color w:val="0F1115"/>
        </w:rPr>
        <w:t>урбоэкологии</w:t>
      </w:r>
      <w:proofErr w:type="spellEnd"/>
      <w:r w:rsidRPr="00BA0B78">
        <w:rPr>
          <w:color w:val="0F1115"/>
        </w:rPr>
        <w:t xml:space="preserve"> — это </w:t>
      </w:r>
      <w:proofErr w:type="gramStart"/>
      <w:r w:rsidRPr="00BA0B78">
        <w:rPr>
          <w:color w:val="0F1115"/>
        </w:rPr>
        <w:t xml:space="preserve">не добавление </w:t>
      </w:r>
      <w:proofErr w:type="gramEnd"/>
      <w:r w:rsidRPr="00BA0B78">
        <w:rPr>
          <w:color w:val="0F1115"/>
        </w:rPr>
        <w:t xml:space="preserve">новой темы, это смена оптики. Город перестает быть просто местом жизни, а становится главным учебным объектом. Такое погружение позволяет естественно и мощно достигать всех целей ФГОС: формировать </w:t>
      </w:r>
      <w:proofErr w:type="spellStart"/>
      <w:r w:rsidRPr="00BA0B78">
        <w:rPr>
          <w:color w:val="0F1115"/>
        </w:rPr>
        <w:t>метапредметные</w:t>
      </w:r>
      <w:proofErr w:type="spellEnd"/>
      <w:r w:rsidRPr="00BA0B78">
        <w:rPr>
          <w:color w:val="0F1115"/>
        </w:rPr>
        <w:t xml:space="preserve"> навыки исследования и проектирования, давать глубокие предметные знания в контексте их применения и воспитывать личную ответственность за среду обитания. Ученик, понимающий химические процессы своего города, перестает быть его пассивным жителем. Он становится его грамотным «пользователем» и потенциальным «инженером», способным не только анализировать проблемы, но и предлагать научно обоснованные решения. В этом и есть высшая цель современного естественнонаучного образования.</w:t>
      </w:r>
    </w:p>
    <w:p w:rsidR="004F18DF" w:rsidRDefault="004F18DF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</w:p>
    <w:p w:rsidR="004F18DF" w:rsidRPr="00BA0B78" w:rsidRDefault="004F18DF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bookmarkStart w:id="0" w:name="_GoBack"/>
      <w:bookmarkEnd w:id="0"/>
    </w:p>
    <w:p w:rsidR="00BA0B78" w:rsidRPr="00BA0B78" w:rsidRDefault="00BA0B78" w:rsidP="00BA0B7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Список использованных источников:</w:t>
      </w:r>
    </w:p>
    <w:p w:rsidR="00BA0B78" w:rsidRPr="00BA0B78" w:rsidRDefault="00BA0B78" w:rsidP="00BA0B78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BA0B78">
        <w:rPr>
          <w:rStyle w:val="a3"/>
          <w:color w:val="0F1115"/>
        </w:rPr>
        <w:t>Ветошкин</w:t>
      </w:r>
      <w:proofErr w:type="spellEnd"/>
      <w:r w:rsidRPr="00BA0B78">
        <w:rPr>
          <w:rStyle w:val="a3"/>
          <w:color w:val="0F1115"/>
        </w:rPr>
        <w:t>, А.Г. Процессы и аппараты защиты атмосферы. Расчеты, проектирование, моделирование.</w:t>
      </w:r>
      <w:r w:rsidRPr="00BA0B78">
        <w:rPr>
          <w:color w:val="0F1115"/>
        </w:rPr>
        <w:t xml:space="preserve"> – </w:t>
      </w:r>
      <w:proofErr w:type="gramStart"/>
      <w:r w:rsidRPr="00BA0B78">
        <w:rPr>
          <w:color w:val="0F1115"/>
        </w:rPr>
        <w:t>СПб.:</w:t>
      </w:r>
      <w:proofErr w:type="gramEnd"/>
      <w:r w:rsidRPr="00BA0B78">
        <w:rPr>
          <w:color w:val="0F1115"/>
        </w:rPr>
        <w:t xml:space="preserve"> Лань, 2019. – </w:t>
      </w:r>
      <w:r w:rsidRPr="00BA0B78">
        <w:rPr>
          <w:rStyle w:val="a5"/>
          <w:color w:val="0F1115"/>
        </w:rPr>
        <w:t>В статье использована для объяснения механизмов образования и распространения фотохимического смога.</w:t>
      </w:r>
    </w:p>
    <w:p w:rsidR="00BA0B78" w:rsidRPr="00BA0B78" w:rsidRDefault="00BA0B78" w:rsidP="00BA0B78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BA0B78">
        <w:rPr>
          <w:rStyle w:val="a3"/>
          <w:color w:val="0F1115"/>
        </w:rPr>
        <w:t>Кельцев</w:t>
      </w:r>
      <w:proofErr w:type="spellEnd"/>
      <w:r w:rsidRPr="00BA0B78">
        <w:rPr>
          <w:rStyle w:val="a3"/>
          <w:color w:val="0F1115"/>
        </w:rPr>
        <w:t>, Н.В. Основы пирометаллургии. Том 2: Переработка вторичного сырья.</w:t>
      </w:r>
      <w:r w:rsidRPr="00BA0B78">
        <w:rPr>
          <w:color w:val="0F1115"/>
        </w:rPr>
        <w:t> – М.: Металлургия, 2020. – </w:t>
      </w:r>
      <w:r w:rsidRPr="00BA0B78">
        <w:rPr>
          <w:rStyle w:val="a5"/>
          <w:color w:val="0F1115"/>
        </w:rPr>
        <w:t>Цитируется для обоснования технологических процессов извлечения металлов из отходов.</w:t>
      </w:r>
    </w:p>
    <w:p w:rsidR="00BA0B78" w:rsidRPr="00BA0B78" w:rsidRDefault="00BA0B78" w:rsidP="00BA0B78">
      <w:pPr>
        <w:pStyle w:val="ds-markdown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BA0B78">
        <w:rPr>
          <w:rStyle w:val="a3"/>
          <w:color w:val="0F1115"/>
        </w:rPr>
        <w:t>Экологический мониторинг: методы и средства</w:t>
      </w:r>
      <w:r w:rsidRPr="00BA0B78">
        <w:rPr>
          <w:color w:val="0F1115"/>
        </w:rPr>
        <w:t xml:space="preserve"> / Под ред. Т.Я. </w:t>
      </w:r>
      <w:proofErr w:type="spellStart"/>
      <w:r w:rsidRPr="00BA0B78">
        <w:rPr>
          <w:color w:val="0F1115"/>
        </w:rPr>
        <w:t>Ашихминой</w:t>
      </w:r>
      <w:proofErr w:type="spellEnd"/>
      <w:r w:rsidRPr="00BA0B78">
        <w:rPr>
          <w:color w:val="0F1115"/>
        </w:rPr>
        <w:t>. – М.: Академический проект, 2018. – </w:t>
      </w:r>
      <w:r w:rsidRPr="00BA0B78">
        <w:rPr>
          <w:rStyle w:val="a5"/>
          <w:color w:val="0F1115"/>
        </w:rPr>
        <w:t>Использована для подтверждения ценности полевых методов в образовательном процессе.</w:t>
      </w:r>
    </w:p>
    <w:p w:rsidR="00EC4A99" w:rsidRPr="00BA0B78" w:rsidRDefault="00EC4A99" w:rsidP="00BA0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C4A99" w:rsidRPr="00BA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A89"/>
    <w:multiLevelType w:val="multilevel"/>
    <w:tmpl w:val="732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06E76"/>
    <w:multiLevelType w:val="multilevel"/>
    <w:tmpl w:val="CCA2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D5F62"/>
    <w:multiLevelType w:val="multilevel"/>
    <w:tmpl w:val="FF8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F1414"/>
    <w:multiLevelType w:val="multilevel"/>
    <w:tmpl w:val="F4D2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41044"/>
    <w:multiLevelType w:val="multilevel"/>
    <w:tmpl w:val="67BA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D7949"/>
    <w:multiLevelType w:val="multilevel"/>
    <w:tmpl w:val="5116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85066"/>
    <w:multiLevelType w:val="multilevel"/>
    <w:tmpl w:val="3FE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61EE6"/>
    <w:multiLevelType w:val="multilevel"/>
    <w:tmpl w:val="1D92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C3276"/>
    <w:multiLevelType w:val="multilevel"/>
    <w:tmpl w:val="100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49041C"/>
    <w:multiLevelType w:val="multilevel"/>
    <w:tmpl w:val="A47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B2482F"/>
    <w:multiLevelType w:val="multilevel"/>
    <w:tmpl w:val="0B4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102B7F"/>
    <w:multiLevelType w:val="multilevel"/>
    <w:tmpl w:val="D0C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5479F"/>
    <w:multiLevelType w:val="multilevel"/>
    <w:tmpl w:val="B072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EE038F"/>
    <w:multiLevelType w:val="multilevel"/>
    <w:tmpl w:val="8A9C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E770A"/>
    <w:multiLevelType w:val="multilevel"/>
    <w:tmpl w:val="020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D468E6"/>
    <w:multiLevelType w:val="multilevel"/>
    <w:tmpl w:val="27A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884347"/>
    <w:multiLevelType w:val="multilevel"/>
    <w:tmpl w:val="7CFA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324992"/>
    <w:multiLevelType w:val="multilevel"/>
    <w:tmpl w:val="659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200B9C"/>
    <w:multiLevelType w:val="multilevel"/>
    <w:tmpl w:val="382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853CE"/>
    <w:multiLevelType w:val="multilevel"/>
    <w:tmpl w:val="905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F15B15"/>
    <w:multiLevelType w:val="multilevel"/>
    <w:tmpl w:val="F08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496DDF"/>
    <w:multiLevelType w:val="multilevel"/>
    <w:tmpl w:val="C19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93EA6"/>
    <w:multiLevelType w:val="multilevel"/>
    <w:tmpl w:val="2C0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CB3CE6"/>
    <w:multiLevelType w:val="multilevel"/>
    <w:tmpl w:val="E7A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501B7"/>
    <w:multiLevelType w:val="multilevel"/>
    <w:tmpl w:val="0598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5C46F4"/>
    <w:multiLevelType w:val="multilevel"/>
    <w:tmpl w:val="674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954FE2"/>
    <w:multiLevelType w:val="multilevel"/>
    <w:tmpl w:val="C45C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8329CF"/>
    <w:multiLevelType w:val="multilevel"/>
    <w:tmpl w:val="617E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0524F7"/>
    <w:multiLevelType w:val="multilevel"/>
    <w:tmpl w:val="89C6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8077D"/>
    <w:multiLevelType w:val="multilevel"/>
    <w:tmpl w:val="DF0A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691786"/>
    <w:multiLevelType w:val="multilevel"/>
    <w:tmpl w:val="460E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84637"/>
    <w:multiLevelType w:val="multilevel"/>
    <w:tmpl w:val="F84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FA3EE9"/>
    <w:multiLevelType w:val="multilevel"/>
    <w:tmpl w:val="88F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8802C0"/>
    <w:multiLevelType w:val="multilevel"/>
    <w:tmpl w:val="550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A87C3E"/>
    <w:multiLevelType w:val="multilevel"/>
    <w:tmpl w:val="6E58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183F7F"/>
    <w:multiLevelType w:val="multilevel"/>
    <w:tmpl w:val="724A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AF230E"/>
    <w:multiLevelType w:val="multilevel"/>
    <w:tmpl w:val="037E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131458"/>
    <w:multiLevelType w:val="multilevel"/>
    <w:tmpl w:val="2B7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A73DD8"/>
    <w:multiLevelType w:val="multilevel"/>
    <w:tmpl w:val="88D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5C6844"/>
    <w:multiLevelType w:val="multilevel"/>
    <w:tmpl w:val="821A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B210FF"/>
    <w:multiLevelType w:val="multilevel"/>
    <w:tmpl w:val="936C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70C7E"/>
    <w:multiLevelType w:val="multilevel"/>
    <w:tmpl w:val="FF12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1703FA"/>
    <w:multiLevelType w:val="multilevel"/>
    <w:tmpl w:val="6DE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5F6BFC"/>
    <w:multiLevelType w:val="multilevel"/>
    <w:tmpl w:val="C198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0E0754"/>
    <w:multiLevelType w:val="multilevel"/>
    <w:tmpl w:val="9442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38"/>
  </w:num>
  <w:num w:numId="5">
    <w:abstractNumId w:val="2"/>
  </w:num>
  <w:num w:numId="6">
    <w:abstractNumId w:val="24"/>
  </w:num>
  <w:num w:numId="7">
    <w:abstractNumId w:val="5"/>
  </w:num>
  <w:num w:numId="8">
    <w:abstractNumId w:val="3"/>
  </w:num>
  <w:num w:numId="9">
    <w:abstractNumId w:val="20"/>
  </w:num>
  <w:num w:numId="10">
    <w:abstractNumId w:val="42"/>
  </w:num>
  <w:num w:numId="11">
    <w:abstractNumId w:val="8"/>
  </w:num>
  <w:num w:numId="12">
    <w:abstractNumId w:val="26"/>
  </w:num>
  <w:num w:numId="13">
    <w:abstractNumId w:val="36"/>
  </w:num>
  <w:num w:numId="14">
    <w:abstractNumId w:val="1"/>
  </w:num>
  <w:num w:numId="15">
    <w:abstractNumId w:val="6"/>
  </w:num>
  <w:num w:numId="16">
    <w:abstractNumId w:val="4"/>
  </w:num>
  <w:num w:numId="17">
    <w:abstractNumId w:val="33"/>
  </w:num>
  <w:num w:numId="18">
    <w:abstractNumId w:val="39"/>
  </w:num>
  <w:num w:numId="19">
    <w:abstractNumId w:val="16"/>
  </w:num>
  <w:num w:numId="20">
    <w:abstractNumId w:val="37"/>
  </w:num>
  <w:num w:numId="21">
    <w:abstractNumId w:val="11"/>
  </w:num>
  <w:num w:numId="22">
    <w:abstractNumId w:val="14"/>
  </w:num>
  <w:num w:numId="23">
    <w:abstractNumId w:val="43"/>
  </w:num>
  <w:num w:numId="24">
    <w:abstractNumId w:val="9"/>
  </w:num>
  <w:num w:numId="25">
    <w:abstractNumId w:val="31"/>
  </w:num>
  <w:num w:numId="26">
    <w:abstractNumId w:val="0"/>
  </w:num>
  <w:num w:numId="27">
    <w:abstractNumId w:val="29"/>
  </w:num>
  <w:num w:numId="28">
    <w:abstractNumId w:val="27"/>
  </w:num>
  <w:num w:numId="29">
    <w:abstractNumId w:val="18"/>
  </w:num>
  <w:num w:numId="30">
    <w:abstractNumId w:val="10"/>
  </w:num>
  <w:num w:numId="31">
    <w:abstractNumId w:val="15"/>
  </w:num>
  <w:num w:numId="32">
    <w:abstractNumId w:val="7"/>
  </w:num>
  <w:num w:numId="33">
    <w:abstractNumId w:val="13"/>
  </w:num>
  <w:num w:numId="34">
    <w:abstractNumId w:val="44"/>
  </w:num>
  <w:num w:numId="35">
    <w:abstractNumId w:val="41"/>
  </w:num>
  <w:num w:numId="36">
    <w:abstractNumId w:val="23"/>
  </w:num>
  <w:num w:numId="37">
    <w:abstractNumId w:val="22"/>
  </w:num>
  <w:num w:numId="38">
    <w:abstractNumId w:val="40"/>
  </w:num>
  <w:num w:numId="39">
    <w:abstractNumId w:val="12"/>
  </w:num>
  <w:num w:numId="40">
    <w:abstractNumId w:val="34"/>
  </w:num>
  <w:num w:numId="41">
    <w:abstractNumId w:val="28"/>
  </w:num>
  <w:num w:numId="42">
    <w:abstractNumId w:val="25"/>
  </w:num>
  <w:num w:numId="43">
    <w:abstractNumId w:val="21"/>
  </w:num>
  <w:num w:numId="44">
    <w:abstractNumId w:val="1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98"/>
    <w:rsid w:val="00265281"/>
    <w:rsid w:val="002C0B61"/>
    <w:rsid w:val="003A2992"/>
    <w:rsid w:val="003D1435"/>
    <w:rsid w:val="004F18DF"/>
    <w:rsid w:val="00694E2E"/>
    <w:rsid w:val="006F4398"/>
    <w:rsid w:val="007169DB"/>
    <w:rsid w:val="00BA0B78"/>
    <w:rsid w:val="00D849E7"/>
    <w:rsid w:val="00E60CFD"/>
    <w:rsid w:val="00EC2D24"/>
    <w:rsid w:val="00E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499E7-4F17-4989-B322-146EB2F3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4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4E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E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4E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94E2E"/>
    <w:rPr>
      <w:b/>
      <w:bCs/>
    </w:rPr>
  </w:style>
  <w:style w:type="paragraph" w:customStyle="1" w:styleId="ds-markdown-paragraph">
    <w:name w:val="ds-markdown-paragraph"/>
    <w:basedOn w:val="a"/>
    <w:rsid w:val="0069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E2E"/>
    <w:rPr>
      <w:color w:val="0000FF"/>
      <w:u w:val="single"/>
    </w:rPr>
  </w:style>
  <w:style w:type="character" w:styleId="a5">
    <w:name w:val="Emphasis"/>
    <w:basedOn w:val="a0"/>
    <w:uiPriority w:val="20"/>
    <w:qFormat/>
    <w:rsid w:val="003A29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2025-12-18T02:00:00Z</dcterms:created>
  <dcterms:modified xsi:type="dcterms:W3CDTF">2025-12-18T05:54:00Z</dcterms:modified>
</cp:coreProperties>
</file>